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EB78" w14:textId="47220A77" w:rsidR="00BA7D32" w:rsidRPr="00172E6E" w:rsidRDefault="00172E6E" w:rsidP="00172E6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72E6E">
        <w:rPr>
          <w:b/>
          <w:bCs/>
          <w:sz w:val="36"/>
          <w:szCs w:val="36"/>
        </w:rPr>
        <w:t>Frequently Asked Questions</w:t>
      </w:r>
    </w:p>
    <w:p w14:paraId="4143C777" w14:textId="77777777" w:rsidR="00AA183E" w:rsidRDefault="00AA183E" w:rsidP="00172E6E">
      <w:pPr>
        <w:rPr>
          <w:b/>
          <w:bCs/>
          <w:sz w:val="23"/>
          <w:szCs w:val="23"/>
        </w:rPr>
      </w:pPr>
    </w:p>
    <w:p w14:paraId="4E5C4174" w14:textId="57B120CA" w:rsidR="00172E6E" w:rsidRPr="00172E6E" w:rsidRDefault="00172E6E" w:rsidP="00172E6E">
      <w:pPr>
        <w:rPr>
          <w:b/>
          <w:bCs/>
          <w:sz w:val="23"/>
          <w:szCs w:val="23"/>
        </w:rPr>
      </w:pPr>
      <w:r w:rsidRPr="00172E6E">
        <w:rPr>
          <w:b/>
          <w:bCs/>
          <w:sz w:val="23"/>
          <w:szCs w:val="23"/>
        </w:rPr>
        <w:t>1. Why are rates increasing?</w:t>
      </w:r>
    </w:p>
    <w:p w14:paraId="630F607B" w14:textId="51D522C5" w:rsidR="00172E6E" w:rsidRPr="00172E6E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Rates are increasing because the cost of operating and maintaining the wastewater system continues to rise. Electricity, fuel, chemicals, insurance, healthcare, construction materials, and regulatory mandates have all increased significantly.</w:t>
      </w:r>
    </w:p>
    <w:p w14:paraId="4A5BF4B6" w14:textId="7C22274E" w:rsidR="00172E6E" w:rsidRPr="00172E6E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At the same time, our infrastructure is aging — some pipes date back to 1935 in Downtown Indio. To maintain reliability, meet state and federal regulations, and prepare for future growth, we must reinvest in the system</w:t>
      </w:r>
      <w:r w:rsidR="005E4382">
        <w:rPr>
          <w:sz w:val="23"/>
          <w:szCs w:val="23"/>
        </w:rPr>
        <w:t xml:space="preserve"> and complete major construction projects</w:t>
      </w:r>
      <w:r w:rsidRPr="00172E6E">
        <w:rPr>
          <w:sz w:val="23"/>
          <w:szCs w:val="23"/>
        </w:rPr>
        <w:t>.</w:t>
      </w:r>
    </w:p>
    <w:p w14:paraId="751C3C6F" w14:textId="53D22224" w:rsidR="00172E6E" w:rsidRPr="004F3001" w:rsidRDefault="00172E6E">
      <w:pPr>
        <w:rPr>
          <w:sz w:val="23"/>
          <w:szCs w:val="23"/>
        </w:rPr>
      </w:pPr>
      <w:r w:rsidRPr="00172E6E">
        <w:rPr>
          <w:sz w:val="23"/>
          <w:szCs w:val="23"/>
        </w:rPr>
        <w:t>Gradual increases now prevent large, unscheduled increases later.</w:t>
      </w:r>
    </w:p>
    <w:p w14:paraId="55CD3BC0" w14:textId="77777777" w:rsidR="00172E6E" w:rsidRPr="00172E6E" w:rsidRDefault="00172E6E" w:rsidP="00172E6E">
      <w:pPr>
        <w:rPr>
          <w:b/>
          <w:bCs/>
          <w:sz w:val="23"/>
          <w:szCs w:val="23"/>
        </w:rPr>
      </w:pPr>
      <w:r w:rsidRPr="00172E6E">
        <w:rPr>
          <w:b/>
          <w:bCs/>
          <w:sz w:val="23"/>
          <w:szCs w:val="23"/>
        </w:rPr>
        <w:t>2. What exactly do wastewater rates pay for?</w:t>
      </w:r>
    </w:p>
    <w:p w14:paraId="3D7A15C8" w14:textId="77777777" w:rsidR="00172E6E" w:rsidRPr="00172E6E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Wastewater rates fund:</w:t>
      </w:r>
    </w:p>
    <w:p w14:paraId="0FA27C1E" w14:textId="099E80E3" w:rsidR="00172E6E" w:rsidRPr="00172E6E" w:rsidRDefault="00172E6E" w:rsidP="004F3001">
      <w:pPr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Collection and treatment operations</w:t>
      </w:r>
      <w:r w:rsidR="005E4382">
        <w:rPr>
          <w:sz w:val="23"/>
          <w:szCs w:val="23"/>
        </w:rPr>
        <w:t xml:space="preserve"> and maintenance</w:t>
      </w:r>
    </w:p>
    <w:p w14:paraId="678031EF" w14:textId="77777777" w:rsidR="00172E6E" w:rsidRPr="00172E6E" w:rsidRDefault="00172E6E" w:rsidP="004F3001">
      <w:pPr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Maintenance and repair of 261 miles of sewer pipeline</w:t>
      </w:r>
    </w:p>
    <w:p w14:paraId="3C089004" w14:textId="77777777" w:rsidR="00172E6E" w:rsidRPr="00172E6E" w:rsidRDefault="00172E6E" w:rsidP="004F3001">
      <w:pPr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Pump stations and lift stations</w:t>
      </w:r>
    </w:p>
    <w:p w14:paraId="2F89BC66" w14:textId="77777777" w:rsidR="00172E6E" w:rsidRPr="00172E6E" w:rsidRDefault="00172E6E" w:rsidP="004F3001">
      <w:pPr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Regulatory compliance</w:t>
      </w:r>
    </w:p>
    <w:p w14:paraId="520D71D1" w14:textId="77777777" w:rsidR="00172E6E" w:rsidRPr="00172E6E" w:rsidRDefault="00172E6E" w:rsidP="004F3001">
      <w:pPr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Debt service</w:t>
      </w:r>
    </w:p>
    <w:p w14:paraId="68D433D1" w14:textId="3573C582" w:rsidR="00172E6E" w:rsidRPr="00172E6E" w:rsidRDefault="00172E6E" w:rsidP="004F3001">
      <w:pPr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Capital improvement</w:t>
      </w:r>
      <w:r w:rsidRPr="004F3001">
        <w:rPr>
          <w:sz w:val="23"/>
          <w:szCs w:val="23"/>
        </w:rPr>
        <w:t xml:space="preserve"> projects</w:t>
      </w:r>
      <w:r w:rsidRPr="00172E6E">
        <w:rPr>
          <w:sz w:val="23"/>
          <w:szCs w:val="23"/>
        </w:rPr>
        <w:t xml:space="preserve"> and infrastructure upgrades </w:t>
      </w:r>
    </w:p>
    <w:p w14:paraId="42FB459A" w14:textId="77777777" w:rsidR="00AA183E" w:rsidRDefault="00AA183E" w:rsidP="00172E6E">
      <w:pPr>
        <w:rPr>
          <w:sz w:val="23"/>
          <w:szCs w:val="23"/>
        </w:rPr>
      </w:pPr>
    </w:p>
    <w:p w14:paraId="11D503B7" w14:textId="6047F127" w:rsidR="00172E6E" w:rsidRPr="004F3001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Every dollar collected is reinvested back into the District to provide service to the community</w:t>
      </w:r>
      <w:r w:rsidRPr="004F3001">
        <w:rPr>
          <w:sz w:val="23"/>
          <w:szCs w:val="23"/>
        </w:rPr>
        <w:t>.</w:t>
      </w:r>
    </w:p>
    <w:p w14:paraId="539F8E89" w14:textId="48B237C0" w:rsidR="00172E6E" w:rsidRPr="00172E6E" w:rsidRDefault="00172E6E" w:rsidP="00172E6E">
      <w:pPr>
        <w:rPr>
          <w:b/>
          <w:bCs/>
          <w:sz w:val="23"/>
          <w:szCs w:val="23"/>
        </w:rPr>
      </w:pPr>
      <w:r w:rsidRPr="004F3001">
        <w:rPr>
          <w:b/>
          <w:bCs/>
          <w:sz w:val="23"/>
          <w:szCs w:val="23"/>
        </w:rPr>
        <w:t xml:space="preserve">3. </w:t>
      </w:r>
      <w:r w:rsidRPr="00172E6E">
        <w:rPr>
          <w:b/>
          <w:bCs/>
          <w:sz w:val="23"/>
          <w:szCs w:val="23"/>
        </w:rPr>
        <w:t>What are the current rates vs. proposed rates?</w:t>
      </w:r>
    </w:p>
    <w:p w14:paraId="6904B319" w14:textId="771F60F5" w:rsidR="0036092C" w:rsidRPr="0036092C" w:rsidRDefault="00172E6E" w:rsidP="00172E6E">
      <w:pPr>
        <w:rPr>
          <w:sz w:val="23"/>
          <w:szCs w:val="23"/>
        </w:rPr>
      </w:pPr>
      <w:r w:rsidRPr="00172E6E">
        <w:rPr>
          <w:b/>
          <w:bCs/>
          <w:sz w:val="23"/>
          <w:szCs w:val="23"/>
        </w:rPr>
        <w:t>Current Average Residential Bill:</w:t>
      </w:r>
      <w:r w:rsidR="0036092C">
        <w:rPr>
          <w:sz w:val="23"/>
          <w:szCs w:val="23"/>
        </w:rPr>
        <w:t xml:space="preserve">  </w:t>
      </w:r>
      <w:r w:rsidRPr="00172E6E">
        <w:rPr>
          <w:sz w:val="23"/>
          <w:szCs w:val="23"/>
        </w:rPr>
        <w:t>$62.79 per month</w:t>
      </w:r>
      <w:r w:rsidRPr="00172E6E">
        <w:rPr>
          <w:sz w:val="23"/>
          <w:szCs w:val="23"/>
        </w:rPr>
        <w:br/>
      </w:r>
      <w:r w:rsidR="0036092C">
        <w:rPr>
          <w:b/>
          <w:bCs/>
          <w:sz w:val="23"/>
          <w:szCs w:val="23"/>
        </w:rPr>
        <w:t>Proposed</w:t>
      </w:r>
      <w:r w:rsidR="0036092C" w:rsidRPr="00172E6E">
        <w:rPr>
          <w:b/>
          <w:bCs/>
          <w:sz w:val="23"/>
          <w:szCs w:val="23"/>
        </w:rPr>
        <w:t xml:space="preserve"> Average Residential Bill:</w:t>
      </w:r>
      <w:r w:rsidR="0036092C">
        <w:rPr>
          <w:sz w:val="23"/>
          <w:szCs w:val="23"/>
        </w:rPr>
        <w:t xml:space="preserve">  </w:t>
      </w:r>
      <w:r w:rsidR="0036092C" w:rsidRPr="00172E6E">
        <w:rPr>
          <w:sz w:val="23"/>
          <w:szCs w:val="23"/>
        </w:rPr>
        <w:t>$</w:t>
      </w:r>
      <w:r w:rsidR="0036092C">
        <w:rPr>
          <w:sz w:val="23"/>
          <w:szCs w:val="23"/>
        </w:rPr>
        <w:t>70.30</w:t>
      </w:r>
      <w:r w:rsidR="0036092C" w:rsidRPr="00172E6E">
        <w:rPr>
          <w:sz w:val="23"/>
          <w:szCs w:val="23"/>
        </w:rPr>
        <w:t xml:space="preserve"> per month</w:t>
      </w:r>
      <w:r w:rsidR="0036092C" w:rsidRPr="00172E6E">
        <w:rPr>
          <w:b/>
          <w:bCs/>
          <w:sz w:val="23"/>
          <w:szCs w:val="23"/>
        </w:rPr>
        <w:t xml:space="preserve"> </w:t>
      </w:r>
    </w:p>
    <w:p w14:paraId="257BC1BA" w14:textId="6D7CD503" w:rsidR="00172E6E" w:rsidRDefault="00172E6E" w:rsidP="00172E6E">
      <w:pPr>
        <w:rPr>
          <w:b/>
          <w:bCs/>
          <w:sz w:val="23"/>
          <w:szCs w:val="23"/>
        </w:rPr>
      </w:pPr>
      <w:r w:rsidRPr="00172E6E">
        <w:rPr>
          <w:b/>
          <w:bCs/>
          <w:sz w:val="23"/>
          <w:szCs w:val="23"/>
        </w:rPr>
        <w:t>Proposed Average Increases:</w:t>
      </w:r>
    </w:p>
    <w:p w14:paraId="614D60F3" w14:textId="5AC13B65" w:rsidR="005E4382" w:rsidRDefault="00691101" w:rsidP="00691101">
      <w:pPr>
        <w:spacing w:after="0" w:line="240" w:lineRule="auto"/>
        <w:ind w:left="2880" w:firstLine="720"/>
        <w:rPr>
          <w:sz w:val="23"/>
          <w:szCs w:val="23"/>
        </w:rPr>
      </w:pPr>
      <w:r>
        <w:rPr>
          <w:sz w:val="23"/>
          <w:szCs w:val="23"/>
        </w:rPr>
        <w:t xml:space="preserve"> Average             </w:t>
      </w:r>
      <w:r w:rsidR="005E4382">
        <w:rPr>
          <w:sz w:val="23"/>
          <w:szCs w:val="23"/>
        </w:rPr>
        <w:t>Increase</w:t>
      </w:r>
      <w:r w:rsidR="007A7CB4">
        <w:rPr>
          <w:sz w:val="23"/>
          <w:szCs w:val="23"/>
        </w:rPr>
        <w:tab/>
      </w:r>
      <w:r w:rsidR="00C606DE">
        <w:rPr>
          <w:sz w:val="23"/>
          <w:szCs w:val="23"/>
        </w:rPr>
        <w:tab/>
        <w:t xml:space="preserve">        </w:t>
      </w:r>
      <w:r w:rsidR="005E4382">
        <w:rPr>
          <w:sz w:val="23"/>
          <w:szCs w:val="23"/>
        </w:rPr>
        <w:t xml:space="preserve"> </w:t>
      </w:r>
    </w:p>
    <w:p w14:paraId="0CC98006" w14:textId="17AB6D4C" w:rsidR="00C606DE" w:rsidRPr="00172E6E" w:rsidRDefault="005E4382" w:rsidP="005E4382">
      <w:pPr>
        <w:spacing w:after="0" w:line="240" w:lineRule="auto"/>
        <w:ind w:left="1800"/>
        <w:rPr>
          <w:sz w:val="23"/>
          <w:szCs w:val="23"/>
        </w:rPr>
      </w:pPr>
      <w:r>
        <w:rPr>
          <w:sz w:val="23"/>
          <w:szCs w:val="23"/>
        </w:rPr>
        <w:t xml:space="preserve">  Total Ave. Bill      </w:t>
      </w:r>
      <w:r w:rsidR="00C606D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="00691101">
        <w:rPr>
          <w:sz w:val="23"/>
          <w:szCs w:val="23"/>
        </w:rPr>
        <w:t>Monthly</w:t>
      </w:r>
      <w:r w:rsidR="00C606D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</w:t>
      </w:r>
      <w:r w:rsidR="00C606DE">
        <w:rPr>
          <w:sz w:val="23"/>
          <w:szCs w:val="23"/>
        </w:rPr>
        <w:t xml:space="preserve">  </w:t>
      </w:r>
      <w:r w:rsidR="00691101">
        <w:rPr>
          <w:sz w:val="23"/>
          <w:szCs w:val="23"/>
        </w:rPr>
        <w:t xml:space="preserve">  </w:t>
      </w:r>
      <w:r w:rsidR="00C606DE">
        <w:rPr>
          <w:sz w:val="23"/>
          <w:szCs w:val="23"/>
        </w:rPr>
        <w:t>Monthly</w:t>
      </w:r>
      <w:r w:rsidR="00C606DE">
        <w:rPr>
          <w:sz w:val="23"/>
          <w:szCs w:val="23"/>
        </w:rPr>
        <w:tab/>
      </w:r>
      <w:r w:rsidR="00C606DE">
        <w:rPr>
          <w:sz w:val="23"/>
          <w:szCs w:val="23"/>
        </w:rPr>
        <w:tab/>
      </w:r>
      <w:r w:rsidR="00C606DE">
        <w:rPr>
          <w:sz w:val="23"/>
          <w:szCs w:val="23"/>
        </w:rPr>
        <w:tab/>
      </w:r>
      <w:r w:rsidR="00C606DE">
        <w:rPr>
          <w:sz w:val="23"/>
          <w:szCs w:val="23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5"/>
        <w:gridCol w:w="1530"/>
        <w:gridCol w:w="1350"/>
        <w:gridCol w:w="1530"/>
      </w:tblGrid>
      <w:tr w:rsidR="005E4382" w14:paraId="51B2C230" w14:textId="77777777" w:rsidTr="005E4382">
        <w:tc>
          <w:tcPr>
            <w:tcW w:w="1075" w:type="dxa"/>
          </w:tcPr>
          <w:p w14:paraId="0557138B" w14:textId="0E48AAE2" w:rsidR="005E4382" w:rsidRDefault="005E4382" w:rsidP="00C606DE">
            <w:pPr>
              <w:rPr>
                <w:sz w:val="23"/>
                <w:szCs w:val="23"/>
              </w:rPr>
            </w:pPr>
            <w:r w:rsidRPr="00AA183E">
              <w:rPr>
                <w:sz w:val="23"/>
                <w:szCs w:val="23"/>
              </w:rPr>
              <w:t>FY 2026</w:t>
            </w:r>
          </w:p>
        </w:tc>
        <w:tc>
          <w:tcPr>
            <w:tcW w:w="1530" w:type="dxa"/>
          </w:tcPr>
          <w:p w14:paraId="74737112" w14:textId="716E8058" w:rsidR="005E4382" w:rsidRDefault="005E4382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$753.49</w:t>
            </w:r>
          </w:p>
        </w:tc>
        <w:tc>
          <w:tcPr>
            <w:tcW w:w="1350" w:type="dxa"/>
          </w:tcPr>
          <w:p w14:paraId="78957064" w14:textId="05BB95AC" w:rsidR="005E4382" w:rsidRDefault="005E4382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</w:t>
            </w:r>
            <w:r w:rsidR="00691101">
              <w:rPr>
                <w:sz w:val="23"/>
                <w:szCs w:val="23"/>
              </w:rPr>
              <w:t>62.79</w:t>
            </w:r>
          </w:p>
        </w:tc>
        <w:tc>
          <w:tcPr>
            <w:tcW w:w="1530" w:type="dxa"/>
          </w:tcPr>
          <w:p w14:paraId="1805B5AD" w14:textId="28CF24BF" w:rsidR="005E4382" w:rsidRDefault="00AA183E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(Current)</w:t>
            </w:r>
          </w:p>
        </w:tc>
      </w:tr>
      <w:tr w:rsidR="00691101" w14:paraId="00546347" w14:textId="74AF9CF9" w:rsidTr="005E4382">
        <w:tc>
          <w:tcPr>
            <w:tcW w:w="1075" w:type="dxa"/>
          </w:tcPr>
          <w:p w14:paraId="015ECFB1" w14:textId="79696232" w:rsidR="00691101" w:rsidRDefault="00691101" w:rsidP="006911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FY 2027</w:t>
            </w:r>
          </w:p>
        </w:tc>
        <w:tc>
          <w:tcPr>
            <w:tcW w:w="1530" w:type="dxa"/>
          </w:tcPr>
          <w:p w14:paraId="3D7EE094" w14:textId="6489314A" w:rsidR="00691101" w:rsidRDefault="00691101" w:rsidP="00691101">
            <w:pPr>
              <w:jc w:val="center"/>
              <w:rPr>
                <w:sz w:val="23"/>
                <w:szCs w:val="23"/>
              </w:rPr>
            </w:pPr>
            <w:r w:rsidRPr="00BB53B2">
              <w:rPr>
                <w:sz w:val="23"/>
                <w:szCs w:val="23"/>
              </w:rPr>
              <w:t>$</w:t>
            </w:r>
            <w:r>
              <w:rPr>
                <w:sz w:val="23"/>
                <w:szCs w:val="23"/>
              </w:rPr>
              <w:t>843.63</w:t>
            </w:r>
          </w:p>
        </w:tc>
        <w:tc>
          <w:tcPr>
            <w:tcW w:w="1350" w:type="dxa"/>
          </w:tcPr>
          <w:p w14:paraId="75282AA3" w14:textId="0BC5C763" w:rsidR="00691101" w:rsidRDefault="00691101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$70.30</w:t>
            </w:r>
          </w:p>
        </w:tc>
        <w:tc>
          <w:tcPr>
            <w:tcW w:w="1530" w:type="dxa"/>
          </w:tcPr>
          <w:p w14:paraId="20F8B56A" w14:textId="3EAF6019" w:rsidR="00691101" w:rsidRDefault="00691101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$7.51</w:t>
            </w:r>
          </w:p>
        </w:tc>
      </w:tr>
      <w:tr w:rsidR="00691101" w14:paraId="5A5F3E29" w14:textId="19D6CE1D" w:rsidTr="005E4382">
        <w:tc>
          <w:tcPr>
            <w:tcW w:w="1075" w:type="dxa"/>
          </w:tcPr>
          <w:p w14:paraId="0C547740" w14:textId="4760716E" w:rsidR="00691101" w:rsidRDefault="00691101" w:rsidP="006911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FY 2028</w:t>
            </w:r>
          </w:p>
        </w:tc>
        <w:tc>
          <w:tcPr>
            <w:tcW w:w="1530" w:type="dxa"/>
          </w:tcPr>
          <w:p w14:paraId="3F1EC8E2" w14:textId="7CCB57F9" w:rsidR="00691101" w:rsidRDefault="00691101" w:rsidP="00691101">
            <w:pPr>
              <w:jc w:val="center"/>
              <w:rPr>
                <w:sz w:val="23"/>
                <w:szCs w:val="23"/>
              </w:rPr>
            </w:pPr>
            <w:r w:rsidRPr="00BB53B2">
              <w:rPr>
                <w:sz w:val="23"/>
                <w:szCs w:val="23"/>
              </w:rPr>
              <w:t>$</w:t>
            </w:r>
            <w:r>
              <w:rPr>
                <w:sz w:val="23"/>
                <w:szCs w:val="23"/>
              </w:rPr>
              <w:t>944.51</w:t>
            </w:r>
          </w:p>
        </w:tc>
        <w:tc>
          <w:tcPr>
            <w:tcW w:w="1350" w:type="dxa"/>
          </w:tcPr>
          <w:p w14:paraId="40713E02" w14:textId="477A6FC6" w:rsidR="00691101" w:rsidRDefault="00691101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$78.71</w:t>
            </w:r>
          </w:p>
        </w:tc>
        <w:tc>
          <w:tcPr>
            <w:tcW w:w="1530" w:type="dxa"/>
          </w:tcPr>
          <w:p w14:paraId="5364BACD" w14:textId="0201D950" w:rsidR="00691101" w:rsidRDefault="00691101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$8.41</w:t>
            </w:r>
          </w:p>
        </w:tc>
      </w:tr>
      <w:tr w:rsidR="00691101" w14:paraId="0E2F871F" w14:textId="0B1A6F60" w:rsidTr="005E4382">
        <w:tc>
          <w:tcPr>
            <w:tcW w:w="1075" w:type="dxa"/>
          </w:tcPr>
          <w:p w14:paraId="122E8D91" w14:textId="33B89A20" w:rsidR="00691101" w:rsidRDefault="00691101" w:rsidP="006911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FY 2029</w:t>
            </w:r>
          </w:p>
        </w:tc>
        <w:tc>
          <w:tcPr>
            <w:tcW w:w="1530" w:type="dxa"/>
          </w:tcPr>
          <w:p w14:paraId="6CC17FBA" w14:textId="3EE3A5AA" w:rsidR="00691101" w:rsidRDefault="00691101" w:rsidP="00691101">
            <w:pPr>
              <w:jc w:val="center"/>
              <w:rPr>
                <w:sz w:val="23"/>
                <w:szCs w:val="23"/>
              </w:rPr>
            </w:pPr>
            <w:r w:rsidRPr="00BB53B2">
              <w:rPr>
                <w:sz w:val="23"/>
                <w:szCs w:val="23"/>
              </w:rPr>
              <w:t>$</w:t>
            </w:r>
            <w:r>
              <w:rPr>
                <w:sz w:val="23"/>
                <w:szCs w:val="23"/>
              </w:rPr>
              <w:t>982.00</w:t>
            </w:r>
          </w:p>
        </w:tc>
        <w:tc>
          <w:tcPr>
            <w:tcW w:w="1350" w:type="dxa"/>
          </w:tcPr>
          <w:p w14:paraId="12E0961F" w14:textId="1B0D6AA8" w:rsidR="00691101" w:rsidRDefault="00691101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$81.83</w:t>
            </w:r>
          </w:p>
        </w:tc>
        <w:tc>
          <w:tcPr>
            <w:tcW w:w="1530" w:type="dxa"/>
          </w:tcPr>
          <w:p w14:paraId="4CEBD3F7" w14:textId="649FDB89" w:rsidR="00691101" w:rsidRDefault="00691101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$3.12</w:t>
            </w:r>
          </w:p>
        </w:tc>
      </w:tr>
      <w:tr w:rsidR="00691101" w14:paraId="49258958" w14:textId="071745CB" w:rsidTr="005E4382">
        <w:tc>
          <w:tcPr>
            <w:tcW w:w="1075" w:type="dxa"/>
          </w:tcPr>
          <w:p w14:paraId="248056A7" w14:textId="65EB9705" w:rsidR="00691101" w:rsidRDefault="00691101" w:rsidP="006911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FY 2030</w:t>
            </w:r>
          </w:p>
        </w:tc>
        <w:tc>
          <w:tcPr>
            <w:tcW w:w="1530" w:type="dxa"/>
          </w:tcPr>
          <w:p w14:paraId="07A8304E" w14:textId="57A4F9FB" w:rsidR="00691101" w:rsidRDefault="00691101" w:rsidP="00691101">
            <w:pPr>
              <w:jc w:val="center"/>
              <w:rPr>
                <w:sz w:val="23"/>
                <w:szCs w:val="23"/>
              </w:rPr>
            </w:pPr>
            <w:r w:rsidRPr="00BB53B2">
              <w:rPr>
                <w:sz w:val="23"/>
                <w:szCs w:val="23"/>
              </w:rPr>
              <w:t>$</w:t>
            </w:r>
            <w:r>
              <w:rPr>
                <w:sz w:val="23"/>
                <w:szCs w:val="23"/>
              </w:rPr>
              <w:t>1020.49</w:t>
            </w:r>
          </w:p>
        </w:tc>
        <w:tc>
          <w:tcPr>
            <w:tcW w:w="1350" w:type="dxa"/>
          </w:tcPr>
          <w:p w14:paraId="505F6250" w14:textId="564DF476" w:rsidR="00691101" w:rsidRDefault="00691101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$85.04</w:t>
            </w:r>
          </w:p>
        </w:tc>
        <w:tc>
          <w:tcPr>
            <w:tcW w:w="1530" w:type="dxa"/>
          </w:tcPr>
          <w:p w14:paraId="764B7DC9" w14:textId="4C67C1BE" w:rsidR="00691101" w:rsidRDefault="00691101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$3.21</w:t>
            </w:r>
          </w:p>
        </w:tc>
      </w:tr>
      <w:tr w:rsidR="00691101" w14:paraId="1755F38A" w14:textId="18E37FA7" w:rsidTr="005E4382">
        <w:tc>
          <w:tcPr>
            <w:tcW w:w="1075" w:type="dxa"/>
          </w:tcPr>
          <w:p w14:paraId="2D678D92" w14:textId="4456AA39" w:rsidR="00691101" w:rsidRDefault="00691101" w:rsidP="006911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FY 2031</w:t>
            </w:r>
          </w:p>
        </w:tc>
        <w:tc>
          <w:tcPr>
            <w:tcW w:w="1530" w:type="dxa"/>
          </w:tcPr>
          <w:p w14:paraId="132022BE" w14:textId="02482927" w:rsidR="00691101" w:rsidRDefault="00691101" w:rsidP="00691101">
            <w:pPr>
              <w:jc w:val="center"/>
              <w:rPr>
                <w:sz w:val="23"/>
                <w:szCs w:val="23"/>
              </w:rPr>
            </w:pPr>
            <w:r w:rsidRPr="00BB53B2">
              <w:rPr>
                <w:sz w:val="23"/>
                <w:szCs w:val="23"/>
              </w:rPr>
              <w:t>$</w:t>
            </w:r>
            <w:r>
              <w:rPr>
                <w:sz w:val="23"/>
                <w:szCs w:val="23"/>
              </w:rPr>
              <w:t>1061.81</w:t>
            </w:r>
          </w:p>
        </w:tc>
        <w:tc>
          <w:tcPr>
            <w:tcW w:w="1350" w:type="dxa"/>
          </w:tcPr>
          <w:p w14:paraId="4012E297" w14:textId="5A51E738" w:rsidR="00691101" w:rsidRDefault="00691101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$88.48</w:t>
            </w:r>
          </w:p>
        </w:tc>
        <w:tc>
          <w:tcPr>
            <w:tcW w:w="1530" w:type="dxa"/>
          </w:tcPr>
          <w:p w14:paraId="2F8B8ABB" w14:textId="5A8B46D3" w:rsidR="00691101" w:rsidRDefault="00691101" w:rsidP="006911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$3.44</w:t>
            </w:r>
          </w:p>
        </w:tc>
      </w:tr>
    </w:tbl>
    <w:p w14:paraId="189831B1" w14:textId="5FBC56CC" w:rsidR="004F3001" w:rsidRPr="004F3001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The increases are structured to be phased and predictable over five years.</w:t>
      </w:r>
    </w:p>
    <w:p w14:paraId="7A5A34A7" w14:textId="77777777" w:rsidR="005E4382" w:rsidRDefault="005E4382" w:rsidP="00172E6E">
      <w:pPr>
        <w:rPr>
          <w:b/>
          <w:bCs/>
          <w:sz w:val="23"/>
          <w:szCs w:val="23"/>
        </w:rPr>
      </w:pPr>
    </w:p>
    <w:p w14:paraId="596BE8C3" w14:textId="77777777" w:rsidR="00805DBD" w:rsidRDefault="00805DBD" w:rsidP="00172E6E">
      <w:pPr>
        <w:rPr>
          <w:b/>
          <w:bCs/>
          <w:sz w:val="23"/>
          <w:szCs w:val="23"/>
        </w:rPr>
      </w:pPr>
    </w:p>
    <w:p w14:paraId="0E1EF237" w14:textId="1778C507" w:rsidR="00172E6E" w:rsidRPr="00172E6E" w:rsidRDefault="00172E6E" w:rsidP="00172E6E">
      <w:pPr>
        <w:rPr>
          <w:b/>
          <w:bCs/>
          <w:sz w:val="23"/>
          <w:szCs w:val="23"/>
        </w:rPr>
      </w:pPr>
      <w:r w:rsidRPr="004F3001">
        <w:rPr>
          <w:b/>
          <w:bCs/>
          <w:sz w:val="23"/>
          <w:szCs w:val="23"/>
        </w:rPr>
        <w:lastRenderedPageBreak/>
        <w:t xml:space="preserve">4. </w:t>
      </w:r>
      <w:r w:rsidRPr="00172E6E">
        <w:rPr>
          <w:b/>
          <w:bCs/>
          <w:sz w:val="23"/>
          <w:szCs w:val="23"/>
        </w:rPr>
        <w:t xml:space="preserve">Why not </w:t>
      </w:r>
      <w:r w:rsidR="00AA183E">
        <w:rPr>
          <w:b/>
          <w:bCs/>
          <w:sz w:val="23"/>
          <w:szCs w:val="23"/>
        </w:rPr>
        <w:t>wait and ask for more money from the State and Federal Government</w:t>
      </w:r>
      <w:r w:rsidRPr="00172E6E">
        <w:rPr>
          <w:b/>
          <w:bCs/>
          <w:sz w:val="23"/>
          <w:szCs w:val="23"/>
        </w:rPr>
        <w:t>?</w:t>
      </w:r>
    </w:p>
    <w:p w14:paraId="4EC32397" w14:textId="0A347B82" w:rsidR="004F3001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 xml:space="preserve">The District aggressively pursues grant funding and has secured over </w:t>
      </w:r>
      <w:r w:rsidRPr="00172E6E">
        <w:rPr>
          <w:b/>
          <w:bCs/>
          <w:sz w:val="23"/>
          <w:szCs w:val="23"/>
        </w:rPr>
        <w:t>$8 million</w:t>
      </w:r>
      <w:r w:rsidRPr="00172E6E">
        <w:rPr>
          <w:sz w:val="23"/>
          <w:szCs w:val="23"/>
        </w:rPr>
        <w:t xml:space="preserve"> in </w:t>
      </w:r>
      <w:r w:rsidR="00AA183E">
        <w:rPr>
          <w:sz w:val="23"/>
          <w:szCs w:val="23"/>
        </w:rPr>
        <w:t>S</w:t>
      </w:r>
      <w:r w:rsidRPr="00172E6E">
        <w:rPr>
          <w:sz w:val="23"/>
          <w:szCs w:val="23"/>
        </w:rPr>
        <w:t xml:space="preserve">tate and </w:t>
      </w:r>
      <w:r w:rsidR="00AA183E">
        <w:rPr>
          <w:sz w:val="23"/>
          <w:szCs w:val="23"/>
        </w:rPr>
        <w:t>F</w:t>
      </w:r>
      <w:r w:rsidRPr="00172E6E">
        <w:rPr>
          <w:sz w:val="23"/>
          <w:szCs w:val="23"/>
        </w:rPr>
        <w:t>ederal grants.</w:t>
      </w:r>
    </w:p>
    <w:p w14:paraId="339418A6" w14:textId="575ABAF5" w:rsidR="00172E6E" w:rsidRPr="00172E6E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However:</w:t>
      </w:r>
    </w:p>
    <w:p w14:paraId="5382579E" w14:textId="77777777" w:rsidR="00172E6E" w:rsidRPr="00172E6E" w:rsidRDefault="00172E6E" w:rsidP="004F3001">
      <w:pPr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Grants are competitive and not guaranteed.</w:t>
      </w:r>
    </w:p>
    <w:p w14:paraId="4A6834E5" w14:textId="77777777" w:rsidR="00172E6E" w:rsidRPr="00172E6E" w:rsidRDefault="00172E6E" w:rsidP="004F3001">
      <w:pPr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Grants typically cover only portions of projects.</w:t>
      </w:r>
    </w:p>
    <w:p w14:paraId="1AC20FA2" w14:textId="77777777" w:rsidR="00172E6E" w:rsidRPr="00172E6E" w:rsidRDefault="00172E6E" w:rsidP="004F3001">
      <w:pPr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Grants cannot fund routine operations or maintenance.</w:t>
      </w:r>
    </w:p>
    <w:p w14:paraId="21DE768C" w14:textId="77777777" w:rsidR="00172E6E" w:rsidRPr="00172E6E" w:rsidRDefault="00172E6E" w:rsidP="004F3001">
      <w:pPr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Delaying projects increases total cost due to inflation.</w:t>
      </w:r>
    </w:p>
    <w:p w14:paraId="0AE44919" w14:textId="77777777" w:rsidR="00AA183E" w:rsidRDefault="00AA183E" w:rsidP="00172E6E">
      <w:pPr>
        <w:rPr>
          <w:sz w:val="23"/>
          <w:szCs w:val="23"/>
        </w:rPr>
      </w:pPr>
    </w:p>
    <w:p w14:paraId="2D15D06A" w14:textId="0F2B4AE1" w:rsidR="00172E6E" w:rsidRPr="004F3001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Waiting could increase overall costs and create risk to compliance and reliability.</w:t>
      </w:r>
    </w:p>
    <w:p w14:paraId="12BA7CFF" w14:textId="77777777" w:rsidR="00172E6E" w:rsidRPr="00172E6E" w:rsidRDefault="00172E6E" w:rsidP="00172E6E">
      <w:pPr>
        <w:rPr>
          <w:b/>
          <w:bCs/>
          <w:sz w:val="23"/>
          <w:szCs w:val="23"/>
        </w:rPr>
      </w:pPr>
      <w:r w:rsidRPr="00172E6E">
        <w:rPr>
          <w:b/>
          <w:bCs/>
          <w:sz w:val="23"/>
          <w:szCs w:val="23"/>
        </w:rPr>
        <w:t>5. Why not just finance or borrow more instead of raising rates?</w:t>
      </w:r>
    </w:p>
    <w:p w14:paraId="6FF97C2D" w14:textId="77777777" w:rsidR="0036092C" w:rsidRPr="004F3001" w:rsidRDefault="0036092C" w:rsidP="0036092C">
      <w:pPr>
        <w:rPr>
          <w:sz w:val="23"/>
          <w:szCs w:val="23"/>
        </w:rPr>
      </w:pPr>
      <w:r w:rsidRPr="00172E6E">
        <w:rPr>
          <w:sz w:val="23"/>
          <w:szCs w:val="23"/>
        </w:rPr>
        <w:t>Responsible financial planning balances grants, reserves, pay-as-you-go funding, and limited borrowing</w:t>
      </w:r>
      <w:r w:rsidRPr="004F3001">
        <w:rPr>
          <w:sz w:val="23"/>
          <w:szCs w:val="23"/>
        </w:rPr>
        <w:t>,</w:t>
      </w:r>
      <w:r w:rsidRPr="00172E6E">
        <w:rPr>
          <w:sz w:val="23"/>
          <w:szCs w:val="23"/>
        </w:rPr>
        <w:t xml:space="preserve"> not over-reliance on debt.</w:t>
      </w:r>
    </w:p>
    <w:p w14:paraId="1759EF86" w14:textId="75E7A7E4" w:rsidR="00172E6E" w:rsidRPr="00172E6E" w:rsidRDefault="00AA183E" w:rsidP="00172E6E">
      <w:pPr>
        <w:rPr>
          <w:sz w:val="23"/>
          <w:szCs w:val="23"/>
        </w:rPr>
      </w:pPr>
      <w:r>
        <w:rPr>
          <w:sz w:val="23"/>
          <w:szCs w:val="23"/>
        </w:rPr>
        <w:t>Excessive b</w:t>
      </w:r>
      <w:r w:rsidR="00172E6E" w:rsidRPr="00172E6E">
        <w:rPr>
          <w:sz w:val="23"/>
          <w:szCs w:val="23"/>
        </w:rPr>
        <w:t>orrowing shifts the cost to future ratepayers and increases total project cost due to interest.</w:t>
      </w:r>
    </w:p>
    <w:p w14:paraId="70469396" w14:textId="0E5792EF" w:rsidR="00172E6E" w:rsidRPr="00172E6E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Debt must still be repaid through rates.</w:t>
      </w:r>
      <w:r w:rsidRPr="00172E6E">
        <w:rPr>
          <w:sz w:val="23"/>
          <w:szCs w:val="23"/>
        </w:rPr>
        <w:br/>
        <w:t>If rates are not adjusted gradually, larger increases may be required later to repay debt and restore reserves.</w:t>
      </w:r>
    </w:p>
    <w:p w14:paraId="7128F60C" w14:textId="5F416A61" w:rsidR="00172E6E" w:rsidRPr="00172E6E" w:rsidRDefault="00172E6E" w:rsidP="00172E6E">
      <w:pPr>
        <w:rPr>
          <w:b/>
          <w:bCs/>
          <w:sz w:val="23"/>
          <w:szCs w:val="23"/>
        </w:rPr>
      </w:pPr>
      <w:r w:rsidRPr="00172E6E">
        <w:rPr>
          <w:b/>
          <w:bCs/>
          <w:sz w:val="23"/>
          <w:szCs w:val="23"/>
        </w:rPr>
        <w:t>6. Why are VSD rates higher than some neighboring agencies?</w:t>
      </w:r>
    </w:p>
    <w:p w14:paraId="0EA36F49" w14:textId="614F3B9D" w:rsidR="00172E6E" w:rsidRPr="00172E6E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No two agencies are the same.</w:t>
      </w:r>
    </w:p>
    <w:p w14:paraId="2EF0F38D" w14:textId="04641FE6" w:rsidR="00172E6E" w:rsidRPr="00172E6E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Factors that affect rates</w:t>
      </w:r>
      <w:r w:rsidR="00C606DE">
        <w:rPr>
          <w:sz w:val="23"/>
          <w:szCs w:val="23"/>
        </w:rPr>
        <w:t xml:space="preserve"> (which differ between agencies)</w:t>
      </w:r>
      <w:r w:rsidRPr="00172E6E">
        <w:rPr>
          <w:sz w:val="23"/>
          <w:szCs w:val="23"/>
        </w:rPr>
        <w:t>:</w:t>
      </w:r>
    </w:p>
    <w:p w14:paraId="6CBC2C41" w14:textId="4C55CC35" w:rsidR="00172E6E" w:rsidRPr="00172E6E" w:rsidRDefault="00172E6E" w:rsidP="004F300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 xml:space="preserve">Age of infrastructure (VSD is </w:t>
      </w:r>
      <w:r w:rsidRPr="004F3001">
        <w:rPr>
          <w:sz w:val="23"/>
          <w:szCs w:val="23"/>
        </w:rPr>
        <w:t xml:space="preserve">the </w:t>
      </w:r>
      <w:r w:rsidRPr="00172E6E">
        <w:rPr>
          <w:sz w:val="23"/>
          <w:szCs w:val="23"/>
        </w:rPr>
        <w:t>oldest wastewater district in the Valley)</w:t>
      </w:r>
    </w:p>
    <w:p w14:paraId="09FAB71F" w14:textId="77777777" w:rsidR="00172E6E" w:rsidRPr="00172E6E" w:rsidRDefault="00172E6E" w:rsidP="004F300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System size and complexity</w:t>
      </w:r>
    </w:p>
    <w:p w14:paraId="724FDD53" w14:textId="77777777" w:rsidR="00172E6E" w:rsidRPr="00172E6E" w:rsidRDefault="00172E6E" w:rsidP="004F300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Treatment processes</w:t>
      </w:r>
    </w:p>
    <w:p w14:paraId="7CEABAC6" w14:textId="77777777" w:rsidR="00172E6E" w:rsidRPr="00172E6E" w:rsidRDefault="00172E6E" w:rsidP="004F300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Capital needs</w:t>
      </w:r>
    </w:p>
    <w:p w14:paraId="540C476C" w14:textId="68ED7198" w:rsidR="00172E6E" w:rsidRPr="00172E6E" w:rsidRDefault="00172E6E" w:rsidP="004F300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Growth p</w:t>
      </w:r>
      <w:r w:rsidR="0036092C">
        <w:rPr>
          <w:sz w:val="23"/>
          <w:szCs w:val="23"/>
        </w:rPr>
        <w:t>otential</w:t>
      </w:r>
    </w:p>
    <w:p w14:paraId="761CE00F" w14:textId="77777777" w:rsidR="00172E6E" w:rsidRPr="00172E6E" w:rsidRDefault="00172E6E" w:rsidP="004F3001">
      <w:pPr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Regulatory requirements</w:t>
      </w:r>
    </w:p>
    <w:p w14:paraId="2D3E688D" w14:textId="77777777" w:rsidR="00AA183E" w:rsidRDefault="00AA183E" w:rsidP="00172E6E">
      <w:pPr>
        <w:rPr>
          <w:sz w:val="23"/>
          <w:szCs w:val="23"/>
        </w:rPr>
      </w:pPr>
    </w:p>
    <w:p w14:paraId="4CCC99E2" w14:textId="5320D2A8" w:rsidR="00172E6E" w:rsidRPr="004F3001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All agencies cycle through periods of higher rates when making major infrastructure investments</w:t>
      </w:r>
      <w:r w:rsidR="0036092C">
        <w:rPr>
          <w:sz w:val="23"/>
          <w:szCs w:val="23"/>
        </w:rPr>
        <w:t>, then recognize lower rates during subsequent years.</w:t>
      </w:r>
    </w:p>
    <w:p w14:paraId="4FD0663A" w14:textId="4EAA8D27" w:rsidR="00172E6E" w:rsidRPr="00172E6E" w:rsidRDefault="00172E6E" w:rsidP="00172E6E">
      <w:pPr>
        <w:rPr>
          <w:b/>
          <w:bCs/>
          <w:sz w:val="23"/>
          <w:szCs w:val="23"/>
        </w:rPr>
      </w:pPr>
      <w:r w:rsidRPr="00172E6E">
        <w:rPr>
          <w:b/>
          <w:bCs/>
          <w:sz w:val="23"/>
          <w:szCs w:val="23"/>
        </w:rPr>
        <w:t xml:space="preserve">7. What happens if </w:t>
      </w:r>
      <w:r w:rsidR="00223C39">
        <w:rPr>
          <w:b/>
          <w:bCs/>
          <w:sz w:val="23"/>
          <w:szCs w:val="23"/>
        </w:rPr>
        <w:t>the District does not</w:t>
      </w:r>
      <w:r w:rsidRPr="00172E6E">
        <w:rPr>
          <w:b/>
          <w:bCs/>
          <w:sz w:val="23"/>
          <w:szCs w:val="23"/>
        </w:rPr>
        <w:t xml:space="preserve"> approve the increase?</w:t>
      </w:r>
    </w:p>
    <w:p w14:paraId="08EEA4AD" w14:textId="77777777" w:rsidR="00172E6E" w:rsidRPr="00172E6E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If rates are not adjusted:</w:t>
      </w:r>
    </w:p>
    <w:p w14:paraId="46304003" w14:textId="77777777" w:rsidR="00172E6E" w:rsidRPr="00172E6E" w:rsidRDefault="00172E6E" w:rsidP="004F3001">
      <w:pPr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Infrastructure repairs may be deferred</w:t>
      </w:r>
    </w:p>
    <w:p w14:paraId="441491A6" w14:textId="77777777" w:rsidR="00172E6E" w:rsidRPr="00172E6E" w:rsidRDefault="00172E6E" w:rsidP="004F3001">
      <w:pPr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Emergency repair costs increase</w:t>
      </w:r>
    </w:p>
    <w:p w14:paraId="64246FFC" w14:textId="77777777" w:rsidR="00172E6E" w:rsidRPr="00172E6E" w:rsidRDefault="00172E6E" w:rsidP="004F3001">
      <w:pPr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 xml:space="preserve">Risk of state and federal non-compliance increases </w:t>
      </w:r>
    </w:p>
    <w:p w14:paraId="589FA906" w14:textId="77777777" w:rsidR="00172E6E" w:rsidRPr="00172E6E" w:rsidRDefault="00172E6E" w:rsidP="004F3001">
      <w:pPr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Financial strength and reserves may weaken</w:t>
      </w:r>
    </w:p>
    <w:p w14:paraId="00241F41" w14:textId="77777777" w:rsidR="00172E6E" w:rsidRPr="00172E6E" w:rsidRDefault="00172E6E" w:rsidP="004F3001">
      <w:pPr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172E6E">
        <w:rPr>
          <w:sz w:val="23"/>
          <w:szCs w:val="23"/>
        </w:rPr>
        <w:t>Future rate increases would likely be larger and sudden</w:t>
      </w:r>
    </w:p>
    <w:p w14:paraId="04CFAC73" w14:textId="4E3DA3D1" w:rsidR="00172E6E" w:rsidRPr="004F3001" w:rsidRDefault="00172E6E" w:rsidP="00172E6E">
      <w:pPr>
        <w:rPr>
          <w:sz w:val="23"/>
          <w:szCs w:val="23"/>
        </w:rPr>
      </w:pPr>
      <w:r w:rsidRPr="00172E6E">
        <w:rPr>
          <w:sz w:val="23"/>
          <w:szCs w:val="23"/>
        </w:rPr>
        <w:t>Inaction now creates greater financial and operational risk later.</w:t>
      </w:r>
    </w:p>
    <w:p w14:paraId="2F804027" w14:textId="1A3C8D4D" w:rsidR="00172E6E" w:rsidRPr="00172E6E" w:rsidRDefault="00172E6E" w:rsidP="00172E6E">
      <w:pPr>
        <w:rPr>
          <w:b/>
          <w:bCs/>
          <w:sz w:val="23"/>
          <w:szCs w:val="23"/>
        </w:rPr>
      </w:pPr>
      <w:r w:rsidRPr="00172E6E">
        <w:rPr>
          <w:b/>
          <w:bCs/>
          <w:sz w:val="23"/>
          <w:szCs w:val="23"/>
        </w:rPr>
        <w:lastRenderedPageBreak/>
        <w:t xml:space="preserve">8. </w:t>
      </w:r>
      <w:r w:rsidR="0036092C">
        <w:rPr>
          <w:b/>
          <w:bCs/>
          <w:sz w:val="23"/>
          <w:szCs w:val="23"/>
        </w:rPr>
        <w:t>What major projects are being constructed</w:t>
      </w:r>
      <w:r w:rsidRPr="00172E6E">
        <w:rPr>
          <w:b/>
          <w:bCs/>
          <w:sz w:val="23"/>
          <w:szCs w:val="23"/>
        </w:rPr>
        <w:t>?</w:t>
      </w:r>
    </w:p>
    <w:p w14:paraId="17817501" w14:textId="140C42D3" w:rsidR="004F3001" w:rsidRPr="00223C39" w:rsidRDefault="00805DBD" w:rsidP="004F3001">
      <w:pPr>
        <w:rPr>
          <w:sz w:val="23"/>
          <w:szCs w:val="23"/>
        </w:rPr>
      </w:pPr>
      <w:r w:rsidRPr="00223C39">
        <w:rPr>
          <w:sz w:val="23"/>
          <w:szCs w:val="23"/>
        </w:rPr>
        <w:t>Recycled Water Project</w:t>
      </w:r>
    </w:p>
    <w:p w14:paraId="1A60353E" w14:textId="650ADBE9" w:rsidR="00805DBD" w:rsidRPr="00223C39" w:rsidRDefault="00805DBD" w:rsidP="004F3001">
      <w:pPr>
        <w:rPr>
          <w:sz w:val="23"/>
          <w:szCs w:val="23"/>
        </w:rPr>
      </w:pPr>
      <w:r w:rsidRPr="00223C39">
        <w:rPr>
          <w:sz w:val="23"/>
          <w:szCs w:val="23"/>
        </w:rPr>
        <w:t>Innovative Biosolids Project</w:t>
      </w:r>
    </w:p>
    <w:p w14:paraId="728129AE" w14:textId="0D50CDD1" w:rsidR="00805DBD" w:rsidRPr="00223C39" w:rsidRDefault="00805DBD" w:rsidP="004F3001">
      <w:pPr>
        <w:rPr>
          <w:sz w:val="23"/>
          <w:szCs w:val="23"/>
        </w:rPr>
      </w:pPr>
      <w:r w:rsidRPr="00223C39">
        <w:rPr>
          <w:sz w:val="23"/>
          <w:szCs w:val="23"/>
        </w:rPr>
        <w:t>Lift Station Rehabilitation</w:t>
      </w:r>
    </w:p>
    <w:p w14:paraId="0142C309" w14:textId="1BFBC0BD" w:rsidR="00805DBD" w:rsidRPr="00223C39" w:rsidRDefault="00805DBD" w:rsidP="004F3001">
      <w:pPr>
        <w:rPr>
          <w:sz w:val="23"/>
          <w:szCs w:val="23"/>
        </w:rPr>
      </w:pPr>
      <w:r w:rsidRPr="00223C39">
        <w:rPr>
          <w:sz w:val="23"/>
          <w:szCs w:val="23"/>
        </w:rPr>
        <w:t>Sewer Main Rehabilitation</w:t>
      </w:r>
    </w:p>
    <w:p w14:paraId="56414E9B" w14:textId="54436628" w:rsidR="00805DBD" w:rsidRDefault="00805DBD" w:rsidP="004F3001">
      <w:pPr>
        <w:rPr>
          <w:sz w:val="23"/>
          <w:szCs w:val="23"/>
        </w:rPr>
      </w:pPr>
      <w:r w:rsidRPr="00223C39">
        <w:rPr>
          <w:sz w:val="23"/>
          <w:szCs w:val="23"/>
        </w:rPr>
        <w:t>Lab,</w:t>
      </w:r>
      <w:r>
        <w:rPr>
          <w:sz w:val="23"/>
          <w:szCs w:val="23"/>
        </w:rPr>
        <w:t xml:space="preserve"> Training, Office, Maintenance, and Administration building</w:t>
      </w:r>
    </w:p>
    <w:p w14:paraId="3AE60FE0" w14:textId="4F866716" w:rsidR="00B3718E" w:rsidRPr="004F3001" w:rsidRDefault="00B3718E" w:rsidP="00B3718E">
      <w:pPr>
        <w:rPr>
          <w:b/>
          <w:bCs/>
          <w:sz w:val="23"/>
          <w:szCs w:val="23"/>
        </w:rPr>
      </w:pPr>
      <w:r w:rsidRPr="004F3001">
        <w:rPr>
          <w:b/>
          <w:bCs/>
          <w:sz w:val="23"/>
          <w:szCs w:val="23"/>
        </w:rPr>
        <w:t xml:space="preserve">9. </w:t>
      </w:r>
      <w:r>
        <w:rPr>
          <w:b/>
          <w:bCs/>
          <w:sz w:val="23"/>
          <w:szCs w:val="23"/>
        </w:rPr>
        <w:t xml:space="preserve">How do these projects </w:t>
      </w:r>
      <w:r w:rsidR="0042456D">
        <w:rPr>
          <w:b/>
          <w:bCs/>
          <w:sz w:val="23"/>
          <w:szCs w:val="23"/>
        </w:rPr>
        <w:t>affect</w:t>
      </w:r>
      <w:r>
        <w:rPr>
          <w:b/>
          <w:bCs/>
          <w:sz w:val="23"/>
          <w:szCs w:val="23"/>
        </w:rPr>
        <w:t xml:space="preserve"> rates? </w:t>
      </w:r>
      <w:r w:rsidR="00AA183E">
        <w:rPr>
          <w:b/>
          <w:bCs/>
          <w:sz w:val="23"/>
          <w:szCs w:val="23"/>
        </w:rPr>
        <w:t>Can the District delay the projects</w:t>
      </w:r>
      <w:r>
        <w:rPr>
          <w:b/>
          <w:bCs/>
          <w:sz w:val="23"/>
          <w:szCs w:val="23"/>
        </w:rPr>
        <w:t>?</w:t>
      </w:r>
    </w:p>
    <w:p w14:paraId="6F4E6C43" w14:textId="5EFA088B" w:rsidR="00B3718E" w:rsidRDefault="00B3718E" w:rsidP="004F3001">
      <w:pPr>
        <w:rPr>
          <w:sz w:val="23"/>
          <w:szCs w:val="23"/>
        </w:rPr>
      </w:pPr>
      <w:r>
        <w:rPr>
          <w:sz w:val="23"/>
          <w:szCs w:val="23"/>
        </w:rPr>
        <w:t xml:space="preserve">Some projects are </w:t>
      </w:r>
      <w:r w:rsidRPr="00223C39">
        <w:rPr>
          <w:sz w:val="23"/>
          <w:szCs w:val="23"/>
        </w:rPr>
        <w:t>rehabilitations and must be completed to maintain compliance.</w:t>
      </w:r>
    </w:p>
    <w:p w14:paraId="197346A1" w14:textId="1CCF6382" w:rsidR="00B3718E" w:rsidRDefault="00B3718E" w:rsidP="004F3001">
      <w:pPr>
        <w:rPr>
          <w:sz w:val="23"/>
          <w:szCs w:val="23"/>
        </w:rPr>
      </w:pPr>
      <w:r>
        <w:rPr>
          <w:sz w:val="23"/>
          <w:szCs w:val="23"/>
        </w:rPr>
        <w:t>Some projects are needed to prepare for the future; help control future costs by including new efficiencies and better controls.</w:t>
      </w:r>
    </w:p>
    <w:p w14:paraId="28A90E80" w14:textId="64E382A6" w:rsidR="00B3718E" w:rsidRDefault="00B3718E" w:rsidP="004F3001">
      <w:pPr>
        <w:rPr>
          <w:sz w:val="23"/>
          <w:szCs w:val="23"/>
        </w:rPr>
      </w:pPr>
      <w:r>
        <w:rPr>
          <w:sz w:val="23"/>
          <w:szCs w:val="23"/>
        </w:rPr>
        <w:t xml:space="preserve">Some projects offset and control costs by reducing risks and creating potential revenue </w:t>
      </w:r>
      <w:r w:rsidRPr="00223C39">
        <w:rPr>
          <w:sz w:val="23"/>
          <w:szCs w:val="23"/>
        </w:rPr>
        <w:t>stream</w:t>
      </w:r>
      <w:r w:rsidR="0042456D" w:rsidRPr="00223C39">
        <w:rPr>
          <w:sz w:val="23"/>
          <w:szCs w:val="23"/>
        </w:rPr>
        <w:t>s (Recycled Water and Biosolids Projects)</w:t>
      </w:r>
      <w:r w:rsidRPr="00223C39">
        <w:rPr>
          <w:sz w:val="23"/>
          <w:szCs w:val="23"/>
        </w:rPr>
        <w:t>.</w:t>
      </w:r>
    </w:p>
    <w:p w14:paraId="5B6FF226" w14:textId="3B6F8CC2" w:rsidR="00AA183E" w:rsidRDefault="00AA183E" w:rsidP="004F3001">
      <w:pPr>
        <w:rPr>
          <w:sz w:val="23"/>
          <w:szCs w:val="23"/>
        </w:rPr>
      </w:pPr>
      <w:r>
        <w:rPr>
          <w:sz w:val="23"/>
          <w:szCs w:val="23"/>
        </w:rPr>
        <w:t xml:space="preserve">Delaying projects increases risk and </w:t>
      </w:r>
      <w:r w:rsidR="00223C39">
        <w:rPr>
          <w:sz w:val="23"/>
          <w:szCs w:val="23"/>
        </w:rPr>
        <w:t>defers</w:t>
      </w:r>
      <w:r>
        <w:rPr>
          <w:sz w:val="23"/>
          <w:szCs w:val="23"/>
        </w:rPr>
        <w:t xml:space="preserve"> the financial responsibility to future generations creating higher </w:t>
      </w:r>
      <w:r w:rsidR="00223C39">
        <w:rPr>
          <w:sz w:val="23"/>
          <w:szCs w:val="23"/>
        </w:rPr>
        <w:t>and unpredictable rate increase.</w:t>
      </w:r>
    </w:p>
    <w:p w14:paraId="45F8F92C" w14:textId="0506FA24" w:rsidR="004F3001" w:rsidRPr="004F3001" w:rsidRDefault="00B3718E" w:rsidP="004F300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4F3001" w:rsidRPr="004F3001">
        <w:rPr>
          <w:b/>
          <w:bCs/>
          <w:sz w:val="23"/>
          <w:szCs w:val="23"/>
        </w:rPr>
        <w:t>. Will we just keep seeing rate increases after this five-year plan?</w:t>
      </w:r>
    </w:p>
    <w:p w14:paraId="1710F82E" w14:textId="77777777" w:rsidR="0036092C" w:rsidRPr="004F3001" w:rsidRDefault="0036092C" w:rsidP="0036092C">
      <w:pPr>
        <w:rPr>
          <w:sz w:val="23"/>
          <w:szCs w:val="23"/>
        </w:rPr>
      </w:pPr>
      <w:r w:rsidRPr="004F3001">
        <w:rPr>
          <w:sz w:val="23"/>
          <w:szCs w:val="23"/>
        </w:rPr>
        <w:t xml:space="preserve">The goal is steady, manageable adjustments, not </w:t>
      </w:r>
      <w:r>
        <w:rPr>
          <w:sz w:val="23"/>
          <w:szCs w:val="23"/>
        </w:rPr>
        <w:t>sudden</w:t>
      </w:r>
      <w:r w:rsidRPr="004F3001">
        <w:rPr>
          <w:sz w:val="23"/>
          <w:szCs w:val="23"/>
        </w:rPr>
        <w:t xml:space="preserve"> unexpected increases.</w:t>
      </w:r>
    </w:p>
    <w:p w14:paraId="7B7BD5F6" w14:textId="10669FDF" w:rsidR="004F3001" w:rsidRPr="004F3001" w:rsidRDefault="004F3001" w:rsidP="004F3001">
      <w:pPr>
        <w:rPr>
          <w:sz w:val="23"/>
          <w:szCs w:val="23"/>
        </w:rPr>
      </w:pPr>
      <w:r w:rsidRPr="004F3001">
        <w:rPr>
          <w:sz w:val="23"/>
          <w:szCs w:val="23"/>
        </w:rPr>
        <w:t>The five-year rate plan is designed to:</w:t>
      </w:r>
    </w:p>
    <w:p w14:paraId="58CC3B6C" w14:textId="77777777" w:rsidR="004F3001" w:rsidRPr="004F3001" w:rsidRDefault="004F3001" w:rsidP="004F3001">
      <w:pPr>
        <w:numPr>
          <w:ilvl w:val="0"/>
          <w:numId w:val="6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>Address known capital projects</w:t>
      </w:r>
    </w:p>
    <w:p w14:paraId="2E107E38" w14:textId="77777777" w:rsidR="004F3001" w:rsidRPr="004F3001" w:rsidRDefault="004F3001" w:rsidP="004F3001">
      <w:pPr>
        <w:numPr>
          <w:ilvl w:val="0"/>
          <w:numId w:val="6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>Stabilize reserves</w:t>
      </w:r>
    </w:p>
    <w:p w14:paraId="49C6F7F8" w14:textId="77777777" w:rsidR="004F3001" w:rsidRPr="004F3001" w:rsidRDefault="004F3001" w:rsidP="004F3001">
      <w:pPr>
        <w:numPr>
          <w:ilvl w:val="0"/>
          <w:numId w:val="6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>Account for projected cost increases</w:t>
      </w:r>
    </w:p>
    <w:p w14:paraId="7123C5D3" w14:textId="20C8B98E" w:rsidR="004F3001" w:rsidRPr="004F3001" w:rsidRDefault="004F3001" w:rsidP="004F3001">
      <w:pPr>
        <w:rPr>
          <w:sz w:val="23"/>
          <w:szCs w:val="23"/>
        </w:rPr>
      </w:pPr>
      <w:r w:rsidRPr="004F3001">
        <w:rPr>
          <w:sz w:val="23"/>
          <w:szCs w:val="23"/>
        </w:rPr>
        <w:t>Future rate adjustments will depend on:</w:t>
      </w:r>
    </w:p>
    <w:p w14:paraId="04691C9A" w14:textId="77777777" w:rsidR="004F3001" w:rsidRPr="004F3001" w:rsidRDefault="004F3001" w:rsidP="004F3001">
      <w:pPr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>Inflation</w:t>
      </w:r>
    </w:p>
    <w:p w14:paraId="4F7AF79E" w14:textId="77777777" w:rsidR="004F3001" w:rsidRPr="004F3001" w:rsidRDefault="004F3001" w:rsidP="004F3001">
      <w:pPr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>Regulatory changes</w:t>
      </w:r>
    </w:p>
    <w:p w14:paraId="3B7A40AA" w14:textId="77777777" w:rsidR="004F3001" w:rsidRPr="004F3001" w:rsidRDefault="004F3001" w:rsidP="004F3001">
      <w:pPr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>Infrastructure needs</w:t>
      </w:r>
    </w:p>
    <w:p w14:paraId="5C0F928C" w14:textId="77777777" w:rsidR="004F3001" w:rsidRPr="004F3001" w:rsidRDefault="004F3001" w:rsidP="004F3001">
      <w:pPr>
        <w:numPr>
          <w:ilvl w:val="0"/>
          <w:numId w:val="7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>Economic conditions</w:t>
      </w:r>
    </w:p>
    <w:p w14:paraId="092F24F2" w14:textId="77777777" w:rsidR="0036092C" w:rsidRDefault="0036092C" w:rsidP="004F3001">
      <w:pPr>
        <w:rPr>
          <w:b/>
          <w:bCs/>
          <w:sz w:val="23"/>
          <w:szCs w:val="23"/>
        </w:rPr>
      </w:pPr>
    </w:p>
    <w:p w14:paraId="2575D234" w14:textId="5683E13C" w:rsidR="004F3001" w:rsidRPr="00223C39" w:rsidRDefault="004F3001" w:rsidP="004F3001">
      <w:pPr>
        <w:rPr>
          <w:b/>
          <w:bCs/>
          <w:sz w:val="23"/>
          <w:szCs w:val="23"/>
        </w:rPr>
      </w:pPr>
      <w:r w:rsidRPr="004F3001">
        <w:rPr>
          <w:b/>
          <w:bCs/>
          <w:sz w:val="23"/>
          <w:szCs w:val="23"/>
        </w:rPr>
        <w:t>1</w:t>
      </w:r>
      <w:r w:rsidR="00B3718E">
        <w:rPr>
          <w:b/>
          <w:bCs/>
          <w:sz w:val="23"/>
          <w:szCs w:val="23"/>
        </w:rPr>
        <w:t>1</w:t>
      </w:r>
      <w:r w:rsidRPr="004F3001">
        <w:rPr>
          <w:b/>
          <w:bCs/>
          <w:sz w:val="23"/>
          <w:szCs w:val="23"/>
        </w:rPr>
        <w:t xml:space="preserve">. What </w:t>
      </w:r>
      <w:r w:rsidR="00223C39">
        <w:rPr>
          <w:b/>
          <w:bCs/>
          <w:sz w:val="23"/>
          <w:szCs w:val="23"/>
        </w:rPr>
        <w:t>is the District</w:t>
      </w:r>
      <w:r w:rsidRPr="004F3001">
        <w:rPr>
          <w:b/>
          <w:bCs/>
          <w:sz w:val="23"/>
          <w:szCs w:val="23"/>
        </w:rPr>
        <w:t xml:space="preserve"> doing to control costs internally?</w:t>
      </w:r>
    </w:p>
    <w:p w14:paraId="340DD781" w14:textId="6F6A9F5E" w:rsidR="004F3001" w:rsidRPr="004F3001" w:rsidRDefault="00223C39" w:rsidP="004F3001">
      <w:pPr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  <w:r w:rsidR="004F3001" w:rsidRPr="004F3001">
        <w:rPr>
          <w:sz w:val="23"/>
          <w:szCs w:val="23"/>
        </w:rPr>
        <w:t xml:space="preserve">ctively seeking state and federal assistance through </w:t>
      </w:r>
      <w:r w:rsidR="00C606DE">
        <w:rPr>
          <w:sz w:val="23"/>
          <w:szCs w:val="23"/>
        </w:rPr>
        <w:t>low interest loans and grants for major projects.</w:t>
      </w:r>
    </w:p>
    <w:p w14:paraId="3945D298" w14:textId="78B85C45" w:rsidR="004F3001" w:rsidRPr="004F3001" w:rsidRDefault="00223C39" w:rsidP="004F3001">
      <w:pPr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Developed</w:t>
      </w:r>
      <w:r w:rsidR="00C606DE">
        <w:rPr>
          <w:sz w:val="23"/>
          <w:szCs w:val="23"/>
        </w:rPr>
        <w:t xml:space="preserve"> a strategically planned Capital Improvement Program</w:t>
      </w:r>
    </w:p>
    <w:p w14:paraId="46ACDE65" w14:textId="6176CE23" w:rsidR="004F3001" w:rsidRPr="004F3001" w:rsidRDefault="004F3001" w:rsidP="004F3001">
      <w:pPr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 xml:space="preserve">Implements energy efficient upgrades </w:t>
      </w:r>
      <w:r w:rsidR="00C606DE">
        <w:rPr>
          <w:sz w:val="23"/>
          <w:szCs w:val="23"/>
        </w:rPr>
        <w:t>such as solar.</w:t>
      </w:r>
    </w:p>
    <w:p w14:paraId="70DCA5F9" w14:textId="2D459C78" w:rsidR="004F3001" w:rsidRPr="004F3001" w:rsidRDefault="007A7CB4" w:rsidP="004F3001">
      <w:pPr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Proposes an innovative</w:t>
      </w:r>
      <w:r w:rsidR="004F3001" w:rsidRPr="004F3001">
        <w:rPr>
          <w:sz w:val="23"/>
          <w:szCs w:val="23"/>
        </w:rPr>
        <w:t xml:space="preserve"> project to </w:t>
      </w:r>
      <w:r w:rsidR="00223C39">
        <w:rPr>
          <w:sz w:val="23"/>
          <w:szCs w:val="23"/>
        </w:rPr>
        <w:t>manage</w:t>
      </w:r>
      <w:r w:rsidR="004F3001" w:rsidRPr="004F3001">
        <w:rPr>
          <w:sz w:val="23"/>
          <w:szCs w:val="23"/>
        </w:rPr>
        <w:t xml:space="preserve"> long-term </w:t>
      </w:r>
      <w:r w:rsidR="00223C39">
        <w:rPr>
          <w:sz w:val="23"/>
          <w:szCs w:val="23"/>
        </w:rPr>
        <w:t>costs</w:t>
      </w:r>
      <w:r>
        <w:rPr>
          <w:sz w:val="23"/>
          <w:szCs w:val="23"/>
        </w:rPr>
        <w:t>.</w:t>
      </w:r>
    </w:p>
    <w:p w14:paraId="5BD84721" w14:textId="2D02223C" w:rsidR="004F3001" w:rsidRPr="004F3001" w:rsidRDefault="004F3001" w:rsidP="004F3001">
      <w:pPr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>Inve</w:t>
      </w:r>
      <w:r w:rsidR="0036092C">
        <w:rPr>
          <w:sz w:val="23"/>
          <w:szCs w:val="23"/>
        </w:rPr>
        <w:t>sting in reuse</w:t>
      </w:r>
      <w:r w:rsidR="007A7CB4">
        <w:rPr>
          <w:sz w:val="23"/>
          <w:szCs w:val="23"/>
        </w:rPr>
        <w:t>.</w:t>
      </w:r>
    </w:p>
    <w:p w14:paraId="132D98A1" w14:textId="71717316" w:rsidR="004F3001" w:rsidRPr="004F3001" w:rsidRDefault="004F3001" w:rsidP="004F3001">
      <w:pPr>
        <w:rPr>
          <w:sz w:val="23"/>
          <w:szCs w:val="23"/>
        </w:rPr>
      </w:pPr>
      <w:r w:rsidRPr="004F3001">
        <w:rPr>
          <w:sz w:val="23"/>
          <w:szCs w:val="23"/>
        </w:rPr>
        <w:t xml:space="preserve">Nearly 50% of </w:t>
      </w:r>
      <w:r w:rsidR="0036092C">
        <w:rPr>
          <w:sz w:val="23"/>
          <w:szCs w:val="23"/>
        </w:rPr>
        <w:t>all revenue</w:t>
      </w:r>
      <w:r w:rsidRPr="004F3001">
        <w:rPr>
          <w:sz w:val="23"/>
          <w:szCs w:val="23"/>
        </w:rPr>
        <w:t xml:space="preserve"> support</w:t>
      </w:r>
      <w:r w:rsidR="0036092C">
        <w:rPr>
          <w:sz w:val="23"/>
          <w:szCs w:val="23"/>
        </w:rPr>
        <w:t>s</w:t>
      </w:r>
      <w:r w:rsidRPr="004F3001">
        <w:rPr>
          <w:sz w:val="23"/>
          <w:szCs w:val="23"/>
        </w:rPr>
        <w:t xml:space="preserve"> capital improvements that protect long-term reliability.</w:t>
      </w:r>
    </w:p>
    <w:p w14:paraId="4EA7F5DA" w14:textId="1C3FC0EE" w:rsidR="004F3001" w:rsidRPr="004F3001" w:rsidRDefault="004F3001" w:rsidP="004F3001">
      <w:pPr>
        <w:rPr>
          <w:b/>
          <w:bCs/>
          <w:sz w:val="23"/>
          <w:szCs w:val="23"/>
        </w:rPr>
      </w:pPr>
      <w:r w:rsidRPr="004F3001">
        <w:rPr>
          <w:b/>
          <w:bCs/>
          <w:sz w:val="23"/>
          <w:szCs w:val="23"/>
        </w:rPr>
        <w:lastRenderedPageBreak/>
        <w:t>1</w:t>
      </w:r>
      <w:r w:rsidR="00B3718E">
        <w:rPr>
          <w:b/>
          <w:bCs/>
          <w:sz w:val="23"/>
          <w:szCs w:val="23"/>
        </w:rPr>
        <w:t>2</w:t>
      </w:r>
      <w:r w:rsidRPr="004F3001">
        <w:rPr>
          <w:b/>
          <w:bCs/>
          <w:sz w:val="23"/>
          <w:szCs w:val="23"/>
        </w:rPr>
        <w:t>. What can residents do if they are on a fixed income?</w:t>
      </w:r>
    </w:p>
    <w:p w14:paraId="72729861" w14:textId="65758286" w:rsidR="0036092C" w:rsidRPr="0036092C" w:rsidRDefault="0036092C" w:rsidP="004F3001">
      <w:pPr>
        <w:rPr>
          <w:sz w:val="23"/>
          <w:szCs w:val="23"/>
          <w:u w:val="single"/>
        </w:rPr>
      </w:pPr>
      <w:r w:rsidRPr="00223C39">
        <w:rPr>
          <w:sz w:val="23"/>
          <w:szCs w:val="23"/>
          <w:u w:val="single"/>
        </w:rPr>
        <w:t>**Reducing winter water usage can lower the variable portion of the sewer bill.</w:t>
      </w:r>
    </w:p>
    <w:p w14:paraId="1C8F9014" w14:textId="795CA6A9" w:rsidR="004F3001" w:rsidRPr="004F3001" w:rsidRDefault="004F3001" w:rsidP="004F3001">
      <w:pPr>
        <w:rPr>
          <w:sz w:val="23"/>
          <w:szCs w:val="23"/>
        </w:rPr>
      </w:pPr>
      <w:r w:rsidRPr="004F3001">
        <w:rPr>
          <w:sz w:val="23"/>
          <w:szCs w:val="23"/>
        </w:rPr>
        <w:t>Residents can explore rebate and conservation programs available through:</w:t>
      </w:r>
    </w:p>
    <w:p w14:paraId="5A07D06C" w14:textId="2997EE40" w:rsidR="00223C39" w:rsidRDefault="00223C39" w:rsidP="004F3001">
      <w:pPr>
        <w:numPr>
          <w:ilvl w:val="0"/>
          <w:numId w:val="9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Valley Sanitary District – Shower Head Rebate Program</w:t>
      </w:r>
    </w:p>
    <w:p w14:paraId="4A97079D" w14:textId="62906F39" w:rsidR="004F3001" w:rsidRPr="004F3001" w:rsidRDefault="004F3001" w:rsidP="004F3001">
      <w:pPr>
        <w:numPr>
          <w:ilvl w:val="0"/>
          <w:numId w:val="9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>Indio Water Authority</w:t>
      </w:r>
    </w:p>
    <w:p w14:paraId="1F0BDC4B" w14:textId="77777777" w:rsidR="004F3001" w:rsidRPr="004F3001" w:rsidRDefault="004F3001" w:rsidP="004F3001">
      <w:pPr>
        <w:numPr>
          <w:ilvl w:val="0"/>
          <w:numId w:val="9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>Coachella Valley Water District</w:t>
      </w:r>
    </w:p>
    <w:p w14:paraId="250EDCF3" w14:textId="77777777" w:rsidR="004F3001" w:rsidRPr="004F3001" w:rsidRDefault="004F3001" w:rsidP="004F3001">
      <w:pPr>
        <w:numPr>
          <w:ilvl w:val="0"/>
          <w:numId w:val="9"/>
        </w:numPr>
        <w:spacing w:after="0" w:line="240" w:lineRule="auto"/>
        <w:rPr>
          <w:sz w:val="23"/>
          <w:szCs w:val="23"/>
        </w:rPr>
      </w:pPr>
      <w:r w:rsidRPr="004F3001">
        <w:rPr>
          <w:sz w:val="23"/>
          <w:szCs w:val="23"/>
        </w:rPr>
        <w:t>IID</w:t>
      </w:r>
    </w:p>
    <w:p w14:paraId="463F167E" w14:textId="77777777" w:rsidR="004F3001" w:rsidRPr="004F3001" w:rsidRDefault="004F3001" w:rsidP="004F3001">
      <w:pPr>
        <w:numPr>
          <w:ilvl w:val="0"/>
          <w:numId w:val="9"/>
        </w:numPr>
        <w:spacing w:after="0" w:line="240" w:lineRule="auto"/>
        <w:rPr>
          <w:sz w:val="23"/>
          <w:szCs w:val="23"/>
          <w:u w:val="single"/>
        </w:rPr>
      </w:pPr>
      <w:r w:rsidRPr="004F3001">
        <w:rPr>
          <w:sz w:val="23"/>
          <w:szCs w:val="23"/>
        </w:rPr>
        <w:t xml:space="preserve">SoCalGas </w:t>
      </w:r>
    </w:p>
    <w:p w14:paraId="3BC776EA" w14:textId="77777777" w:rsidR="004F3001" w:rsidRPr="004F3001" w:rsidRDefault="004F3001" w:rsidP="004F3001">
      <w:pPr>
        <w:rPr>
          <w:sz w:val="23"/>
          <w:szCs w:val="23"/>
        </w:rPr>
      </w:pPr>
      <w:r w:rsidRPr="004F3001">
        <w:rPr>
          <w:sz w:val="23"/>
          <w:szCs w:val="23"/>
        </w:rPr>
        <w:t>Residents may contact VSD administration for guidance.</w:t>
      </w:r>
    </w:p>
    <w:p w14:paraId="6BC6C3BC" w14:textId="77777777" w:rsidR="00172E6E" w:rsidRDefault="00172E6E"/>
    <w:sectPr w:rsidR="00172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7FE"/>
    <w:multiLevelType w:val="multilevel"/>
    <w:tmpl w:val="1E7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D0BDB"/>
    <w:multiLevelType w:val="multilevel"/>
    <w:tmpl w:val="DEA6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E7230"/>
    <w:multiLevelType w:val="multilevel"/>
    <w:tmpl w:val="C9F8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6682A"/>
    <w:multiLevelType w:val="multilevel"/>
    <w:tmpl w:val="D868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837C1"/>
    <w:multiLevelType w:val="multilevel"/>
    <w:tmpl w:val="2B3C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62BAE"/>
    <w:multiLevelType w:val="multilevel"/>
    <w:tmpl w:val="F054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C7E02"/>
    <w:multiLevelType w:val="multilevel"/>
    <w:tmpl w:val="E1E0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1451A"/>
    <w:multiLevelType w:val="multilevel"/>
    <w:tmpl w:val="7F68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B5508"/>
    <w:multiLevelType w:val="multilevel"/>
    <w:tmpl w:val="C6CE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391667">
    <w:abstractNumId w:val="8"/>
  </w:num>
  <w:num w:numId="2" w16cid:durableId="2126734511">
    <w:abstractNumId w:val="2"/>
  </w:num>
  <w:num w:numId="3" w16cid:durableId="762459826">
    <w:abstractNumId w:val="3"/>
  </w:num>
  <w:num w:numId="4" w16cid:durableId="2049911002">
    <w:abstractNumId w:val="1"/>
  </w:num>
  <w:num w:numId="5" w16cid:durableId="551886129">
    <w:abstractNumId w:val="0"/>
  </w:num>
  <w:num w:numId="6" w16cid:durableId="990793014">
    <w:abstractNumId w:val="4"/>
  </w:num>
  <w:num w:numId="7" w16cid:durableId="139731426">
    <w:abstractNumId w:val="5"/>
  </w:num>
  <w:num w:numId="8" w16cid:durableId="1516461600">
    <w:abstractNumId w:val="7"/>
  </w:num>
  <w:num w:numId="9" w16cid:durableId="1913928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6E"/>
    <w:rsid w:val="000064FA"/>
    <w:rsid w:val="00172E6E"/>
    <w:rsid w:val="00223C39"/>
    <w:rsid w:val="0026645F"/>
    <w:rsid w:val="002A3FE1"/>
    <w:rsid w:val="0036092C"/>
    <w:rsid w:val="00365595"/>
    <w:rsid w:val="00376A99"/>
    <w:rsid w:val="0042456D"/>
    <w:rsid w:val="004D6BAF"/>
    <w:rsid w:val="004F3001"/>
    <w:rsid w:val="005E4382"/>
    <w:rsid w:val="00691101"/>
    <w:rsid w:val="007A7CB4"/>
    <w:rsid w:val="00805DBD"/>
    <w:rsid w:val="00AA183E"/>
    <w:rsid w:val="00B3718E"/>
    <w:rsid w:val="00BA7D32"/>
    <w:rsid w:val="00BE1686"/>
    <w:rsid w:val="00C606DE"/>
    <w:rsid w:val="00EA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4B6F"/>
  <w15:chartTrackingRefBased/>
  <w15:docId w15:val="{6A20E4F0-B018-444D-A89B-CF56AA7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E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758-754A-4ACB-AF27-F5C0861D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Branden Rodriguez</dc:creator>
  <cp:keywords/>
  <dc:description/>
  <cp:lastModifiedBy>Jason Dafforn</cp:lastModifiedBy>
  <cp:revision>3</cp:revision>
  <cp:lastPrinted>2026-03-12T16:43:00Z</cp:lastPrinted>
  <dcterms:created xsi:type="dcterms:W3CDTF">2026-03-12T16:44:00Z</dcterms:created>
  <dcterms:modified xsi:type="dcterms:W3CDTF">2026-03-12T17:00:00Z</dcterms:modified>
</cp:coreProperties>
</file>